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CF0288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B277C7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7E2EF4">
        <w:t>105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B277C7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B277C7">
        <w:rPr>
          <w:sz w:val="32"/>
          <w:szCs w:val="32"/>
        </w:rPr>
        <w:t>22</w:t>
      </w:r>
      <w:r w:rsidR="007436C9">
        <w:rPr>
          <w:sz w:val="32"/>
          <w:szCs w:val="32"/>
        </w:rPr>
        <w:t>19640</w:t>
      </w:r>
    </w:p>
    <w:p w14:paraId="0CE7B7E6" w14:textId="6C5FC35B" w:rsidR="00E90E49" w:rsidRPr="00CE0424" w:rsidRDefault="007E2EF4" w:rsidP="00311702">
      <w:pPr>
        <w:pStyle w:val="3GPPHeader"/>
      </w:pPr>
      <w:r w:rsidRPr="00B277C7">
        <w:t>Toulouse</w:t>
      </w:r>
      <w:r w:rsidR="0027144F" w:rsidRPr="00B277C7">
        <w:t xml:space="preserve">, </w:t>
      </w:r>
      <w:r w:rsidRPr="00B277C7">
        <w:t>France</w:t>
      </w:r>
      <w:r w:rsidR="0027144F" w:rsidRPr="00B277C7">
        <w:t xml:space="preserve">, </w:t>
      </w:r>
      <w:r w:rsidRPr="00B277C7">
        <w:t>14</w:t>
      </w:r>
      <w:r w:rsidR="001D53E7" w:rsidRPr="00B277C7">
        <w:t xml:space="preserve">th – </w:t>
      </w:r>
      <w:r w:rsidRPr="00B277C7">
        <w:t>18</w:t>
      </w:r>
      <w:r w:rsidR="001D53E7" w:rsidRPr="00B277C7">
        <w:t>th</w:t>
      </w:r>
      <w:r w:rsidR="00C37CB2" w:rsidRPr="00B277C7">
        <w:t xml:space="preserve"> </w:t>
      </w:r>
      <w:r w:rsidR="00B277C7" w:rsidRPr="00B277C7">
        <w:t>November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E58504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02FD7">
        <w:rPr>
          <w:sz w:val="22"/>
          <w:lang w:val="sv-FI"/>
        </w:rPr>
        <w:t>8.13.3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EC7F6C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23252">
        <w:rPr>
          <w:sz w:val="22"/>
        </w:rPr>
        <w:t>ATG BS requirements</w:t>
      </w:r>
    </w:p>
    <w:p w14:paraId="025260C1" w14:textId="1887D393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902FD7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A882EDC" w:rsidR="00477768" w:rsidRPr="00CE0424" w:rsidRDefault="0000272E" w:rsidP="00CE0424">
      <w:pPr>
        <w:pStyle w:val="BodyText"/>
      </w:pPr>
      <w:r>
        <w:t>During RAN4#104bis-e, a WF for BS requirements was approved that resolved most issues</w:t>
      </w:r>
      <w:r w:rsidR="008D2594">
        <w:t xml:space="preserve">. In this contribution, we outline </w:t>
      </w:r>
      <w:r w:rsidR="000A7B72">
        <w:t>views on some remaining issues.</w:t>
      </w:r>
    </w:p>
    <w:p w14:paraId="60123794" w14:textId="07E7ABB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DB41699" w14:textId="56D67070" w:rsidR="00467DCA" w:rsidRDefault="007676EB" w:rsidP="00467DCA">
      <w:pPr>
        <w:rPr>
          <w:lang w:val="en-GB" w:eastAsia="ja-JP"/>
        </w:rPr>
      </w:pPr>
      <w:r>
        <w:rPr>
          <w:lang w:val="en-GB" w:eastAsia="ja-JP"/>
        </w:rPr>
        <w:t>For the BS class description</w:t>
      </w:r>
      <w:r w:rsidR="00A225A9">
        <w:rPr>
          <w:lang w:val="en-GB" w:eastAsia="ja-JP"/>
        </w:rPr>
        <w:t>, a description text was tentatively agreed as follows:</w:t>
      </w:r>
    </w:p>
    <w:p w14:paraId="7BA44C3B" w14:textId="144004FD" w:rsidR="00A225A9" w:rsidRPr="00B560A9" w:rsidRDefault="00B560A9" w:rsidP="00B560A9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B560A9">
        <w:rPr>
          <w:lang w:val="en-GB" w:eastAsia="ja-JP"/>
        </w:rPr>
        <w:t>ATG Base Stations are characterized by requirements derived from ATG scenarios with a ground BS to air UE with typical vertical altitude range [TBD km]</w:t>
      </w:r>
    </w:p>
    <w:p w14:paraId="540AE83A" w14:textId="77777777" w:rsidR="005C7CCB" w:rsidRDefault="005C7CCB" w:rsidP="00B560A9">
      <w:pPr>
        <w:rPr>
          <w:lang w:val="en-GB" w:eastAsia="ja-JP"/>
        </w:rPr>
      </w:pPr>
    </w:p>
    <w:p w14:paraId="6598B3E9" w14:textId="1A6AB0C7" w:rsidR="00B560A9" w:rsidRDefault="005C7CCB" w:rsidP="00B560A9">
      <w:pPr>
        <w:rPr>
          <w:lang w:val="en-GB" w:eastAsia="ja-JP"/>
        </w:rPr>
      </w:pPr>
      <w:r>
        <w:rPr>
          <w:lang w:val="en-GB" w:eastAsia="ja-JP"/>
        </w:rPr>
        <w:t xml:space="preserve">Regarding the range of altitudes, in our view the TS description should capture </w:t>
      </w:r>
      <w:proofErr w:type="gramStart"/>
      <w:r>
        <w:rPr>
          <w:lang w:val="en-GB" w:eastAsia="ja-JP"/>
        </w:rPr>
        <w:t>all of</w:t>
      </w:r>
      <w:proofErr w:type="gramEnd"/>
      <w:r>
        <w:rPr>
          <w:lang w:val="en-GB" w:eastAsia="ja-JP"/>
        </w:rPr>
        <w:t xml:space="preserve"> the range of altitudes over which ATG could operate, including both the typical cruising altitudes and lower altitudes usually for take-off/landing. As outlined in previous contributions</w:t>
      </w:r>
      <w:r w:rsidR="00B815D4">
        <w:rPr>
          <w:lang w:val="en-GB" w:eastAsia="ja-JP"/>
        </w:rPr>
        <w:t xml:space="preserve">, in-flight </w:t>
      </w:r>
      <w:proofErr w:type="spellStart"/>
      <w:r w:rsidR="00B815D4">
        <w:rPr>
          <w:lang w:val="en-GB" w:eastAsia="ja-JP"/>
        </w:rPr>
        <w:t>WiFi</w:t>
      </w:r>
      <w:proofErr w:type="spellEnd"/>
      <w:r w:rsidR="00B815D4">
        <w:rPr>
          <w:lang w:val="en-GB" w:eastAsia="ja-JP"/>
        </w:rPr>
        <w:t xml:space="preserve"> is operated from 10,000 ft (3000m) upwards.</w:t>
      </w:r>
    </w:p>
    <w:p w14:paraId="0A0C84D5" w14:textId="0A9C79A0" w:rsidR="00B815D4" w:rsidRDefault="00B815D4" w:rsidP="00B560A9">
      <w:pPr>
        <w:rPr>
          <w:lang w:val="en-GB" w:eastAsia="ja-JP"/>
        </w:rPr>
      </w:pPr>
      <w:r>
        <w:rPr>
          <w:lang w:val="en-GB" w:eastAsia="ja-JP"/>
        </w:rPr>
        <w:t xml:space="preserve">If co-existence simulations reveal that requirements are </w:t>
      </w:r>
      <w:r w:rsidR="005A49FE">
        <w:rPr>
          <w:lang w:val="en-GB" w:eastAsia="ja-JP"/>
        </w:rPr>
        <w:t>tough for 3000m the</w:t>
      </w:r>
      <w:r w:rsidR="00E52D58">
        <w:rPr>
          <w:lang w:val="en-GB" w:eastAsia="ja-JP"/>
        </w:rPr>
        <w:t xml:space="preserve">n a different upper limit could be specified; </w:t>
      </w:r>
      <w:r w:rsidR="00095BB6">
        <w:rPr>
          <w:lang w:val="en-GB" w:eastAsia="ja-JP"/>
        </w:rPr>
        <w:t>however,</w:t>
      </w:r>
      <w:r w:rsidR="00E52D58">
        <w:rPr>
          <w:lang w:val="en-GB" w:eastAsia="ja-JP"/>
        </w:rPr>
        <w:t xml:space="preserve"> assuming that the ACLR/ACS for 3000m are achievable or the same as other altitudes, the specification should state the range to be 3000m – 12000m (or agreed upper altitude).</w:t>
      </w:r>
    </w:p>
    <w:p w14:paraId="1232CA68" w14:textId="428FEEA5" w:rsidR="00E52D58" w:rsidRDefault="00E52D58" w:rsidP="00B560A9">
      <w:pPr>
        <w:rPr>
          <w:lang w:val="en-GB" w:eastAsia="ja-JP"/>
        </w:rPr>
      </w:pPr>
      <w:r>
        <w:rPr>
          <w:lang w:val="en-GB" w:eastAsia="ja-JP"/>
        </w:rPr>
        <w:t xml:space="preserve">The existing wording is OK in our view, but if other companies prefer to differentiate the take-off </w:t>
      </w:r>
      <w:r w:rsidR="002F6609">
        <w:rPr>
          <w:lang w:val="en-GB" w:eastAsia="ja-JP"/>
        </w:rPr>
        <w:t>and cruising altitude</w:t>
      </w:r>
      <w:r w:rsidR="001720E0">
        <w:rPr>
          <w:lang w:val="en-GB" w:eastAsia="ja-JP"/>
        </w:rPr>
        <w:t xml:space="preserve">s then the wording could </w:t>
      </w:r>
      <w:r w:rsidR="00407BB2">
        <w:rPr>
          <w:lang w:val="en-GB" w:eastAsia="ja-JP"/>
        </w:rPr>
        <w:t xml:space="preserve">be updated </w:t>
      </w:r>
      <w:proofErr w:type="gramStart"/>
      <w:r w:rsidR="00D12E86">
        <w:rPr>
          <w:lang w:val="en-GB" w:eastAsia="ja-JP"/>
        </w:rPr>
        <w:t>similar to</w:t>
      </w:r>
      <w:proofErr w:type="gramEnd"/>
      <w:r w:rsidR="00D12E86">
        <w:rPr>
          <w:lang w:val="en-GB" w:eastAsia="ja-JP"/>
        </w:rPr>
        <w:t>:</w:t>
      </w:r>
    </w:p>
    <w:p w14:paraId="0797EC46" w14:textId="0D8A3BE9" w:rsidR="00D12E86" w:rsidRPr="00B560A9" w:rsidRDefault="00D12E86" w:rsidP="00D12E86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B560A9">
        <w:rPr>
          <w:lang w:val="en-GB" w:eastAsia="ja-JP"/>
        </w:rPr>
        <w:t>ATG Base Stations are characterized by requirements derived from ATG scenarios with a ground BS to air UE with typical vertical altitude range [TBD km]</w:t>
      </w:r>
      <w:r>
        <w:rPr>
          <w:lang w:val="en-GB" w:eastAsia="ja-JP"/>
        </w:rPr>
        <w:t xml:space="preserve"> and take-off/landing altitudes</w:t>
      </w:r>
      <w:r w:rsidR="0054690C">
        <w:rPr>
          <w:lang w:val="en-GB" w:eastAsia="ja-JP"/>
        </w:rPr>
        <w:t xml:space="preserve"> down to [TBD] km</w:t>
      </w:r>
    </w:p>
    <w:p w14:paraId="26C2F866" w14:textId="77777777" w:rsidR="00D12E86" w:rsidRPr="00B560A9" w:rsidRDefault="00D12E86" w:rsidP="00B560A9">
      <w:pPr>
        <w:rPr>
          <w:lang w:val="en-GB" w:eastAsia="ja-JP"/>
        </w:rPr>
      </w:pPr>
    </w:p>
    <w:p w14:paraId="41654534" w14:textId="2E851A7E" w:rsidR="00A225A9" w:rsidRDefault="0054690C" w:rsidP="00467DCA">
      <w:pPr>
        <w:rPr>
          <w:lang w:val="en-GB" w:eastAsia="ja-JP"/>
        </w:rPr>
      </w:pPr>
      <w:r>
        <w:rPr>
          <w:lang w:val="en-GB" w:eastAsia="ja-JP"/>
        </w:rPr>
        <w:t>The decision on the TS text can be taken once the co-existence simulations are complete.</w:t>
      </w:r>
    </w:p>
    <w:p w14:paraId="4356206D" w14:textId="5A26C878" w:rsidR="001A6F5E" w:rsidRDefault="001A6F5E" w:rsidP="00467DCA">
      <w:pPr>
        <w:rPr>
          <w:lang w:val="en-GB" w:eastAsia="ja-JP"/>
        </w:rPr>
      </w:pPr>
    </w:p>
    <w:p w14:paraId="1CE57964" w14:textId="7AD52D16" w:rsidR="001A6F5E" w:rsidRPr="00467DCA" w:rsidRDefault="001A6F5E" w:rsidP="00467DCA">
      <w:pPr>
        <w:rPr>
          <w:lang w:val="en-GB" w:eastAsia="ja-JP"/>
        </w:rPr>
      </w:pPr>
      <w:r>
        <w:rPr>
          <w:lang w:val="en-GB" w:eastAsia="ja-JP"/>
        </w:rPr>
        <w:t>Regarding the RX IM requirement</w:t>
      </w:r>
      <w:r w:rsidR="003D2F11">
        <w:rPr>
          <w:lang w:val="en-GB" w:eastAsia="ja-JP"/>
        </w:rPr>
        <w:t>, it is unlikely that there is a scenario in which the ATG BS is subject to intermodulation interferers with the levels in the RX IM requirement. However, our understanding is that</w:t>
      </w:r>
      <w:r w:rsidR="00B12F20">
        <w:rPr>
          <w:lang w:val="en-GB" w:eastAsia="ja-JP"/>
        </w:rPr>
        <w:t xml:space="preserve"> the RX IM requirement </w:t>
      </w:r>
      <w:r w:rsidR="00AA7011">
        <w:rPr>
          <w:lang w:val="en-GB" w:eastAsia="ja-JP"/>
        </w:rPr>
        <w:t xml:space="preserve">dimensions some aspects of receiver design, since it creates IM products that are designed to fall specifically into the receive band. If the RM IM requirement is </w:t>
      </w:r>
      <w:r w:rsidR="00590E56">
        <w:rPr>
          <w:lang w:val="en-GB" w:eastAsia="ja-JP"/>
        </w:rPr>
        <w:t>skipped,</w:t>
      </w:r>
      <w:r w:rsidR="00AA7011">
        <w:rPr>
          <w:lang w:val="en-GB" w:eastAsia="ja-JP"/>
        </w:rPr>
        <w:t xml:space="preserve"> then the minimum radio receiver performance for an ATG BS may not be as good as for a TN BS.  </w:t>
      </w:r>
      <w:r w:rsidR="00590E56">
        <w:rPr>
          <w:lang w:val="en-GB" w:eastAsia="ja-JP"/>
        </w:rPr>
        <w:t>Thus,</w:t>
      </w:r>
      <w:r w:rsidR="00AA7011">
        <w:rPr>
          <w:lang w:val="en-GB" w:eastAsia="ja-JP"/>
        </w:rPr>
        <w:t xml:space="preserve"> in our view it is pragmatic to keep the RX IM requirement.</w:t>
      </w:r>
    </w:p>
    <w:sectPr w:rsidR="001A6F5E" w:rsidRPr="00467DCA" w:rsidSect="00AA70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8AD21" w14:textId="77777777" w:rsidR="008868A0" w:rsidRDefault="008868A0">
      <w:r>
        <w:separator/>
      </w:r>
    </w:p>
  </w:endnote>
  <w:endnote w:type="continuationSeparator" w:id="0">
    <w:p w14:paraId="69A1F8E9" w14:textId="77777777" w:rsidR="008868A0" w:rsidRDefault="008868A0">
      <w:r>
        <w:continuationSeparator/>
      </w:r>
    </w:p>
  </w:endnote>
  <w:endnote w:type="continuationNotice" w:id="1">
    <w:p w14:paraId="23759D70" w14:textId="77777777" w:rsidR="008868A0" w:rsidRDefault="008868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2540" w14:textId="77777777" w:rsidR="008868A0" w:rsidRDefault="008868A0">
      <w:r>
        <w:separator/>
      </w:r>
    </w:p>
  </w:footnote>
  <w:footnote w:type="continuationSeparator" w:id="0">
    <w:p w14:paraId="14E65BCB" w14:textId="77777777" w:rsidR="008868A0" w:rsidRDefault="008868A0">
      <w:r>
        <w:continuationSeparator/>
      </w:r>
    </w:p>
  </w:footnote>
  <w:footnote w:type="continuationNotice" w:id="1">
    <w:p w14:paraId="3EA57B0B" w14:textId="77777777" w:rsidR="008868A0" w:rsidRDefault="008868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70B28D1"/>
    <w:multiLevelType w:val="hybridMultilevel"/>
    <w:tmpl w:val="135C0072"/>
    <w:lvl w:ilvl="0" w:tplc="0EA08E9A">
      <w:start w:val="2"/>
      <w:numFmt w:val="bullet"/>
      <w:lvlText w:val=""/>
      <w:lvlJc w:val="left"/>
      <w:pPr>
        <w:ind w:left="930" w:hanging="57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72E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B6"/>
    <w:rsid w:val="000A1B7B"/>
    <w:rsid w:val="000A56F2"/>
    <w:rsid w:val="000A7B7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252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0E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6F5E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6609"/>
    <w:rsid w:val="00301CE6"/>
    <w:rsid w:val="0030256B"/>
    <w:rsid w:val="0030501F"/>
    <w:rsid w:val="00307824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F11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BB2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7DCA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0C"/>
    <w:rsid w:val="00546970"/>
    <w:rsid w:val="00554E19"/>
    <w:rsid w:val="0056121F"/>
    <w:rsid w:val="00572505"/>
    <w:rsid w:val="00582809"/>
    <w:rsid w:val="0058798C"/>
    <w:rsid w:val="005900FA"/>
    <w:rsid w:val="00590E56"/>
    <w:rsid w:val="005935A4"/>
    <w:rsid w:val="005948C2"/>
    <w:rsid w:val="00595DCA"/>
    <w:rsid w:val="0059779B"/>
    <w:rsid w:val="005A209A"/>
    <w:rsid w:val="005A49FE"/>
    <w:rsid w:val="005A662D"/>
    <w:rsid w:val="005B1409"/>
    <w:rsid w:val="005B35D7"/>
    <w:rsid w:val="005B392A"/>
    <w:rsid w:val="005B3AA3"/>
    <w:rsid w:val="005B6F83"/>
    <w:rsid w:val="005C74FB"/>
    <w:rsid w:val="005C7CC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36C9"/>
    <w:rsid w:val="007445A0"/>
    <w:rsid w:val="0074524B"/>
    <w:rsid w:val="00747D8B"/>
    <w:rsid w:val="00751228"/>
    <w:rsid w:val="007571E1"/>
    <w:rsid w:val="007604B2"/>
    <w:rsid w:val="00765281"/>
    <w:rsid w:val="00766BAD"/>
    <w:rsid w:val="007676EB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F4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8A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594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FD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25A9"/>
    <w:rsid w:val="00A2351A"/>
    <w:rsid w:val="00A264A9"/>
    <w:rsid w:val="00A26DCF"/>
    <w:rsid w:val="00A26F72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1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F20"/>
    <w:rsid w:val="00B157F9"/>
    <w:rsid w:val="00B20256"/>
    <w:rsid w:val="00B20D09"/>
    <w:rsid w:val="00B2757F"/>
    <w:rsid w:val="00B2763F"/>
    <w:rsid w:val="00B277C7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0A9"/>
    <w:rsid w:val="00B664C7"/>
    <w:rsid w:val="00B713D8"/>
    <w:rsid w:val="00B739F6"/>
    <w:rsid w:val="00B815D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86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D58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32</cp:revision>
  <cp:lastPrinted>2008-01-31T16:09:00Z</cp:lastPrinted>
  <dcterms:created xsi:type="dcterms:W3CDTF">2020-08-14T06:21:00Z</dcterms:created>
  <dcterms:modified xsi:type="dcterms:W3CDTF">2022-11-07T15:38:00Z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